
<file path=[Content_Types].xml><?xml version="1.0" encoding="utf-8"?>
<Types xmlns="http://schemas.openxmlformats.org/package/2006/content-types">
  <Override PartName="/_rels/.rels" ContentType="application/vnd.openxmlformats-package.relationships+xml"/>
  <Override PartName="/word/_rels/footnotes.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media/image1.jpeg" ContentType="image/jpeg"/>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1"/>
        <w:spacing w:before="480" w:after="0"/>
        <w:jc w:val="center"/>
      </w:pPr>
      <w:bookmarkStart w:id="0" w:name="_GoBack"/>
      <w:bookmarkEnd w:id="0"/>
      <w:r>
        <w:rPr/>
        <w:drawing>
          <wp:inline distT="0" distB="0" distL="0" distR="0">
            <wp:extent cx="1711960" cy="118300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1711960" cy="1183005"/>
                    </a:xfrm>
                    <a:prstGeom prst="rect">
                      <a:avLst/>
                    </a:prstGeom>
                    <a:noFill/>
                    <a:ln w="9525">
                      <a:noFill/>
                      <a:miter lim="800000"/>
                      <a:headEnd/>
                      <a:tailEnd/>
                    </a:ln>
                  </pic:spPr>
                </pic:pic>
              </a:graphicData>
            </a:graphic>
          </wp:inline>
        </w:drawing>
      </w:r>
      <w:r/>
    </w:p>
    <w:p>
      <w:pPr>
        <w:pStyle w:val="Titre1"/>
        <w:spacing w:before="0" w:after="120"/>
        <w:jc w:val="center"/>
        <w:rPr>
          <w:sz w:val="28"/>
          <w:b/>
          <w:sz w:val="28"/>
          <w:b/>
          <w:szCs w:val="28"/>
          <w:bCs/>
          <w:rFonts w:ascii="Cambria" w:hAnsi="Cambria" w:eastAsia="Calibri" w:cs="Tahoma"/>
          <w:color w:val="000000"/>
          <w:lang w:val="fr-FR" w:eastAsia="en-US" w:bidi="ar-SA"/>
        </w:rPr>
      </w:pPr>
      <w:r>
        <w:rPr>
          <w:rFonts w:eastAsia="Calibri" w:cs="Tahoma"/>
          <w:b/>
          <w:bCs/>
          <w:color w:val="000000"/>
          <w:sz w:val="28"/>
          <w:szCs w:val="28"/>
          <w:lang w:val="fr-FR" w:eastAsia="en-US" w:bidi="ar-SA"/>
        </w:rPr>
      </w:r>
      <w:r/>
    </w:p>
    <w:p>
      <w:pPr>
        <w:pStyle w:val="Titre1"/>
        <w:spacing w:before="0" w:after="120"/>
        <w:jc w:val="center"/>
        <w:rPr>
          <w:sz w:val="32"/>
          <w:b/>
          <w:sz w:val="32"/>
          <w:b/>
          <w:szCs w:val="32"/>
          <w:bCs/>
          <w:rFonts w:ascii="Cambria" w:hAnsi="Cambria" w:eastAsia="Calibri" w:cs="Tahoma"/>
          <w:color w:val="000000"/>
          <w:lang w:val="fr-FR" w:eastAsia="en-US" w:bidi="ar-SA"/>
        </w:rPr>
      </w:pPr>
      <w:r>
        <w:rPr>
          <w:rFonts w:eastAsia="Calibri" w:cs="Tahoma"/>
          <w:b/>
          <w:bCs/>
          <w:color w:val="000000"/>
          <w:sz w:val="32"/>
          <w:szCs w:val="32"/>
          <w:lang w:val="fr-FR" w:eastAsia="en-US" w:bidi="ar-SA"/>
        </w:rPr>
      </w:r>
      <w:r/>
    </w:p>
    <w:p>
      <w:pPr>
        <w:pStyle w:val="Titre1"/>
        <w:spacing w:before="0" w:after="120"/>
        <w:jc w:val="center"/>
        <w:rPr>
          <w:sz w:val="36"/>
          <w:b/>
          <w:sz w:val="36"/>
          <w:b/>
          <w:szCs w:val="36"/>
          <w:bCs/>
          <w:rFonts w:ascii="Cambria" w:hAnsi="Cambria" w:eastAsia="Calibri" w:cs="Aharoni"/>
          <w:color w:val="000000"/>
          <w:lang w:val="fr-FR" w:eastAsia="en-US" w:bidi="ar-SA"/>
        </w:rPr>
      </w:pPr>
      <w:r>
        <w:rPr>
          <w:rFonts w:cs="Aharoni"/>
          <w:color w:val="000000"/>
          <w:sz w:val="36"/>
          <w:szCs w:val="36"/>
        </w:rPr>
        <w:t>APPEL A PROJETS LOCAUX</w:t>
      </w:r>
      <w:r/>
    </w:p>
    <w:p>
      <w:pPr>
        <w:pStyle w:val="Titre1"/>
        <w:spacing w:before="0" w:after="120"/>
        <w:jc w:val="center"/>
        <w:rPr>
          <w:sz w:val="36"/>
          <w:b/>
          <w:sz w:val="36"/>
          <w:b/>
          <w:szCs w:val="36"/>
          <w:bCs/>
          <w:rFonts w:ascii="Cambria" w:hAnsi="Cambria" w:eastAsia="Calibri" w:cs="Aharoni"/>
          <w:color w:val="000000"/>
          <w:lang w:val="fr-FR" w:eastAsia="en-US" w:bidi="ar-SA"/>
        </w:rPr>
      </w:pPr>
      <w:r>
        <w:rPr>
          <w:rFonts w:cs="Aharoni"/>
          <w:color w:val="000000"/>
          <w:sz w:val="36"/>
          <w:szCs w:val="36"/>
        </w:rPr>
        <w:t>MOBILISES CONTRE LE RACISME ET L’ANTISEMITISME</w:t>
      </w:r>
      <w:r/>
    </w:p>
    <w:p>
      <w:pPr>
        <w:pStyle w:val="Titre1"/>
        <w:spacing w:before="0" w:after="120"/>
        <w:jc w:val="center"/>
        <w:rPr>
          <w:sz w:val="36"/>
          <w:b/>
          <w:sz w:val="36"/>
          <w:b/>
          <w:szCs w:val="36"/>
          <w:bCs/>
          <w:rFonts w:ascii="Cambria" w:hAnsi="Cambria" w:eastAsia="Calibri" w:cs="Aharoni"/>
          <w:color w:val="000000"/>
          <w:lang w:val="fr-FR" w:eastAsia="en-US" w:bidi="ar-SA"/>
        </w:rPr>
      </w:pPr>
      <w:r>
        <w:rPr>
          <w:rFonts w:cs="Aharoni"/>
          <w:color w:val="000000"/>
          <w:sz w:val="36"/>
          <w:szCs w:val="36"/>
        </w:rPr>
        <w:t>2016-2017</w:t>
      </w:r>
      <w:r/>
    </w:p>
    <w:p>
      <w:pPr>
        <w:pStyle w:val="Normal"/>
        <w:spacing w:before="0" w:after="120"/>
        <w:jc w:val="both"/>
        <w:rPr>
          <w:sz w:val="24"/>
          <w:sz w:val="24"/>
          <w:szCs w:val="24"/>
          <w:rFonts w:ascii="Calibri" w:hAnsi="Calibri" w:eastAsia="Calibri" w:cs="Calibri"/>
          <w:color w:val="000000"/>
          <w:lang w:val="fr-FR" w:eastAsia="en-US" w:bidi="ar-SA"/>
        </w:rPr>
      </w:pPr>
      <w:r>
        <w:rPr>
          <w:rFonts w:cs="Calibri"/>
          <w:color w:val="000000"/>
          <w:sz w:val="24"/>
          <w:szCs w:val="24"/>
        </w:rPr>
        <w:t xml:space="preserve">La délégation interministérielle à la lutte contre le racisme et l’antisémitisme (DILCRA) soutient et encourage les initiatives de la société civile engagée contre les haines et les discriminations. </w:t>
      </w:r>
      <w:r/>
    </w:p>
    <w:p>
      <w:pPr>
        <w:pStyle w:val="Normal"/>
        <w:spacing w:before="0" w:after="120"/>
        <w:jc w:val="both"/>
        <w:rPr>
          <w:sz w:val="24"/>
          <w:sz w:val="24"/>
          <w:szCs w:val="24"/>
          <w:rFonts w:ascii="Calibri" w:hAnsi="Calibri" w:eastAsia="Calibri" w:cs="Calibri"/>
          <w:color w:val="000000"/>
          <w:lang w:val="fr-FR" w:eastAsia="en-US" w:bidi="ar-SA"/>
        </w:rPr>
      </w:pPr>
      <w:r>
        <w:rPr>
          <w:rFonts w:cs="Calibri"/>
          <w:color w:val="000000"/>
          <w:sz w:val="24"/>
          <w:szCs w:val="24"/>
        </w:rPr>
        <w:t xml:space="preserve">Elle accompagne ainsi de multiples projets, sur tout le territoire national, qui favorisent les échanges, la connaissance de l’autre et l’émergence de contre-discours. </w:t>
      </w:r>
      <w:r/>
    </w:p>
    <w:p>
      <w:pPr>
        <w:pStyle w:val="Normal"/>
        <w:spacing w:before="0" w:after="120"/>
        <w:jc w:val="both"/>
        <w:rPr>
          <w:sz w:val="24"/>
          <w:sz w:val="24"/>
          <w:szCs w:val="24"/>
          <w:rFonts w:ascii="Calibri" w:hAnsi="Calibri" w:eastAsia="Calibri" w:cs="Calibri"/>
          <w:color w:val="000000"/>
          <w:lang w:val="fr-FR" w:eastAsia="en-US" w:bidi="ar-SA"/>
        </w:rPr>
      </w:pPr>
      <w:r>
        <w:rPr>
          <w:rFonts w:cs="Calibri"/>
          <w:color w:val="000000"/>
          <w:sz w:val="24"/>
          <w:szCs w:val="24"/>
        </w:rPr>
        <w:t>En 2016 plus de 200 projets, répartis dans 60 départements, ont été subventionnés et sont venus compléter la mobilisation et l’action des services de l’Etat et des collectivités territoriale contre le racisme et l’antisémitisme.</w:t>
      </w:r>
      <w:r/>
    </w:p>
    <w:p>
      <w:pPr>
        <w:pStyle w:val="Normal"/>
        <w:spacing w:before="0" w:after="120"/>
        <w:jc w:val="both"/>
      </w:pPr>
      <w:r>
        <w:rPr>
          <w:rFonts w:cs="Calibri"/>
          <w:b/>
          <w:color w:val="000000"/>
          <w:sz w:val="24"/>
          <w:szCs w:val="24"/>
        </w:rPr>
        <w:t>Fort du succès rencontré lors de la première édition, la DILCRA, en liaison avec les Comités opérationnels de lutte contre le racisme et l’antisémitisme dans chaque département, renouvelle pour l’année 2016-2017 l’appel à projets locaux « Mobilisés contre le racisme et l’antisémitisme »</w:t>
      </w:r>
      <w:r>
        <w:rPr>
          <w:rFonts w:cs="Calibri"/>
          <w:color w:val="000000"/>
          <w:sz w:val="24"/>
          <w:szCs w:val="24"/>
        </w:rPr>
        <w:t>.</w:t>
      </w:r>
      <w:r/>
    </w:p>
    <w:p>
      <w:pPr>
        <w:pStyle w:val="Normal"/>
        <w:spacing w:before="0" w:after="120"/>
        <w:jc w:val="both"/>
        <w:rPr>
          <w:sz w:val="24"/>
          <w:b/>
          <w:sz w:val="24"/>
          <w:b/>
          <w:szCs w:val="24"/>
          <w:rFonts w:ascii="Calibri" w:hAnsi="Calibri" w:eastAsia="Calibri" w:cs="Calibri"/>
          <w:color w:val="000000"/>
          <w:lang w:val="fr-FR" w:eastAsia="en-US" w:bidi="ar-SA"/>
        </w:rPr>
      </w:pPr>
      <w:r>
        <w:rPr>
          <w:rFonts w:cs="Calibri"/>
          <w:b/>
          <w:color w:val="000000"/>
          <w:sz w:val="24"/>
          <w:szCs w:val="24"/>
        </w:rPr>
        <w:t>Ensemble, continuons à faire reculer le racisme, l’antisémitisme et les discriminations !</w:t>
      </w:r>
      <w:r/>
    </w:p>
    <w:p>
      <w:pPr>
        <w:pStyle w:val="Titre1"/>
        <w:spacing w:before="120" w:after="120"/>
        <w:jc w:val="center"/>
      </w:pPr>
      <w:r>
        <w:rPr>
          <w:smallCaps/>
          <w:color w:val="000000"/>
          <w:sz w:val="32"/>
          <w:szCs w:val="32"/>
        </w:rPr>
        <w:t>Qui peut candidater</w:t>
      </w:r>
      <w:r>
        <w:rPr>
          <w:smallCaps/>
          <w:color w:val="000000"/>
        </w:rPr>
        <w:t> ?</w:t>
      </w:r>
      <w:r/>
    </w:p>
    <w:p>
      <w:pPr>
        <w:pStyle w:val="Normal"/>
        <w:jc w:val="both"/>
        <w:rPr>
          <w:sz w:val="24"/>
          <w:sz w:val="24"/>
          <w:szCs w:val="24"/>
          <w:rFonts w:ascii="Calibri" w:hAnsi="Calibri" w:eastAsia="Calibri" w:cs="Calibri"/>
          <w:color w:val="000000"/>
          <w:lang w:val="fr-FR" w:eastAsia="en-US" w:bidi="ar-SA"/>
        </w:rPr>
      </w:pPr>
      <w:r>
        <w:rPr>
          <w:rFonts w:cs="Calibri"/>
          <w:color w:val="000000"/>
          <w:sz w:val="24"/>
          <w:szCs w:val="24"/>
        </w:rPr>
        <w:t xml:space="preserve">Cet appel à projets s’adresse d’abord aux structures dont l’objet principal est de lutter contre le racisme, l’antisémitisme et les discriminations, et/ou de promouvoir l’engagement citoyen et les valeurs de la République, et/ou de mener une action éducative et pédagogique. </w:t>
      </w:r>
      <w:r/>
    </w:p>
    <w:p>
      <w:pPr>
        <w:pStyle w:val="Normal"/>
        <w:jc w:val="both"/>
        <w:rPr>
          <w:sz w:val="24"/>
          <w:sz w:val="24"/>
          <w:szCs w:val="24"/>
          <w:rFonts w:ascii="Calibri" w:hAnsi="Calibri" w:eastAsia="Calibri" w:cs="Calibri"/>
          <w:color w:val="000000"/>
          <w:lang w:val="fr-FR" w:eastAsia="en-US" w:bidi="ar-SA"/>
        </w:rPr>
      </w:pPr>
      <w:r>
        <w:rPr>
          <w:rFonts w:cs="Calibri"/>
          <w:color w:val="000000"/>
          <w:sz w:val="24"/>
          <w:szCs w:val="24"/>
        </w:rPr>
        <w:t>Elles peuvent être constituées de professionnels et/ou de bénévoles, de type associatif ou non, ancrés sur des territoires ruraux, ultra-marins et urbains, en privilégiant les quartiers de la politique de la ville. Peuvent donc notamment candidater : les associations loi 1901, les établissements culturels, les établissements scolaires et universitaires.</w:t>
      </w:r>
      <w:r/>
    </w:p>
    <w:p>
      <w:pPr>
        <w:pStyle w:val="Titre1"/>
        <w:spacing w:before="120" w:after="120"/>
        <w:jc w:val="center"/>
        <w:rPr>
          <w:smallCaps/>
          <w:sz w:val="32"/>
          <w:b/>
          <w:sz w:val="32"/>
          <w:b/>
          <w:szCs w:val="32"/>
          <w:bCs/>
          <w:rFonts w:ascii="Cambria" w:hAnsi="Cambria" w:eastAsia="Calibri" w:cs="Tahoma"/>
          <w:color w:val="000000"/>
          <w:lang w:val="fr-FR" w:eastAsia="en-US" w:bidi="ar-SA"/>
        </w:rPr>
      </w:pPr>
      <w:r>
        <w:rPr>
          <w:smallCaps/>
          <w:color w:val="000000"/>
          <w:sz w:val="32"/>
          <w:szCs w:val="32"/>
        </w:rPr>
        <w:t>Quels projets peuvent être soutenus ?</w:t>
      </w:r>
      <w:r/>
    </w:p>
    <w:p>
      <w:pPr>
        <w:pStyle w:val="Normal"/>
        <w:jc w:val="both"/>
      </w:pPr>
      <w:r>
        <w:rPr>
          <w:rFonts w:cs="Calibri"/>
          <w:color w:val="000000"/>
          <w:sz w:val="24"/>
          <w:szCs w:val="24"/>
        </w:rPr>
        <w:t xml:space="preserve">Cet appel à projet a pour but de soutenir les actions </w:t>
      </w:r>
      <w:r>
        <w:rPr>
          <w:rFonts w:cs="Calibri"/>
          <w:b/>
          <w:color w:val="000000"/>
          <w:sz w:val="24"/>
          <w:szCs w:val="24"/>
        </w:rPr>
        <w:t xml:space="preserve">à portée territoriale </w:t>
      </w:r>
      <w:r>
        <w:rPr>
          <w:rFonts w:cs="Calibri"/>
          <w:color w:val="000000"/>
          <w:sz w:val="24"/>
          <w:szCs w:val="24"/>
        </w:rPr>
        <w:t xml:space="preserve">qui s’inscrivent dans les objectifs du Plan interministériel de lutte contre le racisme et l’antisémitisme 2015-2017 consultable et </w:t>
      </w:r>
      <w:hyperlink r:id="rId3">
        <w:r>
          <w:rPr>
            <w:rStyle w:val="LienInternetvisit"/>
            <w:rFonts w:cs="Calibri"/>
            <w:color w:val="000000"/>
            <w:sz w:val="24"/>
            <w:szCs w:val="24"/>
          </w:rPr>
          <w:t>téléchargeable</w:t>
        </w:r>
        <w:r>
          <w:rPr>
            <w:rStyle w:val="LienInternetvisit"/>
            <w:rStyle w:val="Ancredenotedebasdepage"/>
            <w:rFonts w:cs="Calibri"/>
            <w:color w:val="000000"/>
            <w:sz w:val="24"/>
            <w:szCs w:val="24"/>
          </w:rPr>
          <w:footnoteReference w:id="2"/>
        </w:r>
        <w:r>
          <w:rPr>
            <w:rStyle w:val="LienInternet"/>
            <w:rFonts w:cs="Calibri"/>
            <w:color w:val="000000"/>
            <w:sz w:val="24"/>
            <w:szCs w:val="24"/>
          </w:rPr>
          <w:t>.</w:t>
        </w:r>
      </w:hyperlink>
      <w:r/>
    </w:p>
    <w:p>
      <w:pPr>
        <w:pStyle w:val="Normal"/>
        <w:jc w:val="both"/>
        <w:rPr>
          <w:sz w:val="24"/>
          <w:sz w:val="24"/>
          <w:szCs w:val="24"/>
          <w:rFonts w:ascii="Calibri" w:hAnsi="Calibri" w:eastAsia="Calibri" w:cs="Calibri"/>
          <w:color w:val="000000"/>
          <w:lang w:val="fr-FR" w:eastAsia="en-US" w:bidi="ar-SA"/>
        </w:rPr>
      </w:pPr>
      <w:r>
        <w:rPr>
          <w:rFonts w:cs="Calibri"/>
          <w:color w:val="000000"/>
          <w:sz w:val="24"/>
          <w:szCs w:val="24"/>
        </w:rPr>
        <w:t xml:space="preserve">Sont ainsi éligibles des projets qui visent notamment à la réalisation de l’un ou plusieurs de ces objectifs : </w:t>
      </w:r>
      <w:r/>
    </w:p>
    <w:p>
      <w:pPr>
        <w:pStyle w:val="Normal"/>
        <w:spacing w:lineRule="auto" w:line="240"/>
        <w:ind w:left="1276" w:right="0" w:hanging="0"/>
        <w:jc w:val="both"/>
        <w:rPr>
          <w:sz w:val="24"/>
          <w:sz w:val="24"/>
          <w:szCs w:val="24"/>
          <w:rFonts w:ascii="Calibri" w:hAnsi="Calibri" w:eastAsia="Calibri" w:cs="Calibri"/>
          <w:color w:val="000000"/>
          <w:lang w:val="fr-FR" w:eastAsia="en-US" w:bidi="ar-SA"/>
        </w:rPr>
      </w:pPr>
      <w:r>
        <w:rPr>
          <w:rFonts w:cs="Calibri"/>
          <w:color w:val="000000"/>
          <w:sz w:val="24"/>
          <w:szCs w:val="24"/>
        </w:rPr>
        <w:t>•</w:t>
      </w:r>
      <w:r>
        <w:rPr>
          <w:rFonts w:cs="Calibri"/>
          <w:color w:val="000000"/>
          <w:sz w:val="24"/>
          <w:szCs w:val="24"/>
        </w:rPr>
        <w:tab/>
        <w:t xml:space="preserve">la lutte contre les stéréotypes, la connaissance de l’autre, l’engagement citoyen et le bien-vivre ensemble par des actions à destination des jeunes, sur et hors temps scolaire </w:t>
      </w:r>
      <w:r/>
    </w:p>
    <w:p>
      <w:pPr>
        <w:pStyle w:val="Normal"/>
        <w:ind w:left="1276" w:right="0" w:hanging="0"/>
        <w:jc w:val="both"/>
        <w:rPr>
          <w:sz w:val="24"/>
          <w:sz w:val="24"/>
          <w:szCs w:val="24"/>
          <w:rFonts w:ascii="Calibri" w:hAnsi="Calibri" w:eastAsia="Calibri" w:cs="Calibri"/>
          <w:color w:val="000000"/>
          <w:lang w:val="fr-FR" w:eastAsia="en-US" w:bidi="ar-SA"/>
        </w:rPr>
      </w:pPr>
      <w:r>
        <w:rPr>
          <w:rFonts w:cs="Calibri"/>
          <w:color w:val="000000"/>
          <w:sz w:val="24"/>
          <w:szCs w:val="24"/>
        </w:rPr>
        <w:t>•</w:t>
      </w:r>
      <w:r>
        <w:rPr>
          <w:rFonts w:cs="Calibri"/>
          <w:color w:val="000000"/>
          <w:sz w:val="24"/>
          <w:szCs w:val="24"/>
        </w:rPr>
        <w:tab/>
        <w:t>La production de ressources et de contre-discours en ligne</w:t>
      </w:r>
      <w:r/>
    </w:p>
    <w:p>
      <w:pPr>
        <w:pStyle w:val="Normal"/>
        <w:ind w:left="1276" w:right="0" w:hanging="0"/>
        <w:jc w:val="both"/>
        <w:rPr>
          <w:sz w:val="24"/>
          <w:sz w:val="24"/>
          <w:szCs w:val="24"/>
          <w:rFonts w:ascii="Calibri" w:hAnsi="Calibri" w:eastAsia="Calibri" w:cs="Calibri"/>
          <w:color w:val="000000"/>
          <w:lang w:val="fr-FR" w:eastAsia="en-US" w:bidi="ar-SA"/>
        </w:rPr>
      </w:pPr>
      <w:r>
        <w:rPr>
          <w:rFonts w:cs="Calibri"/>
          <w:color w:val="000000"/>
          <w:sz w:val="24"/>
          <w:szCs w:val="24"/>
        </w:rPr>
        <w:t>•</w:t>
      </w:r>
      <w:r>
        <w:rPr>
          <w:rFonts w:cs="Calibri"/>
          <w:color w:val="000000"/>
          <w:sz w:val="24"/>
          <w:szCs w:val="24"/>
        </w:rPr>
        <w:tab/>
        <w:t>Le développement du signalement des discours de haines sur internet</w:t>
      </w:r>
      <w:r/>
    </w:p>
    <w:p>
      <w:pPr>
        <w:pStyle w:val="Normal"/>
        <w:ind w:left="1276" w:right="0" w:hanging="0"/>
        <w:jc w:val="both"/>
        <w:rPr>
          <w:sz w:val="24"/>
          <w:sz w:val="24"/>
          <w:szCs w:val="24"/>
          <w:rFonts w:ascii="Calibri" w:hAnsi="Calibri" w:eastAsia="Calibri" w:cs="Calibri"/>
          <w:color w:val="000000"/>
          <w:lang w:val="fr-FR" w:eastAsia="en-US" w:bidi="ar-SA"/>
        </w:rPr>
      </w:pPr>
      <w:r>
        <w:rPr>
          <w:rFonts w:cs="Calibri"/>
          <w:color w:val="000000"/>
          <w:sz w:val="24"/>
          <w:szCs w:val="24"/>
        </w:rPr>
        <w:t>•</w:t>
      </w:r>
      <w:r>
        <w:rPr>
          <w:rFonts w:cs="Calibri"/>
          <w:color w:val="000000"/>
          <w:sz w:val="24"/>
          <w:szCs w:val="24"/>
        </w:rPr>
        <w:tab/>
        <w:t>la valorisation des lieux d’histoire et de mémoire</w:t>
      </w:r>
      <w:r/>
    </w:p>
    <w:p>
      <w:pPr>
        <w:pStyle w:val="Normal"/>
        <w:spacing w:lineRule="auto" w:line="240"/>
        <w:ind w:left="1276" w:right="0" w:hanging="0"/>
        <w:jc w:val="both"/>
        <w:rPr>
          <w:sz w:val="24"/>
          <w:sz w:val="24"/>
          <w:szCs w:val="24"/>
          <w:rFonts w:ascii="Calibri" w:hAnsi="Calibri" w:eastAsia="Calibri" w:cs="Calibri"/>
          <w:color w:val="000000"/>
          <w:lang w:val="fr-FR" w:eastAsia="en-US" w:bidi="ar-SA"/>
        </w:rPr>
      </w:pPr>
      <w:r>
        <w:rPr>
          <w:rFonts w:cs="Calibri"/>
          <w:color w:val="000000"/>
          <w:sz w:val="24"/>
          <w:szCs w:val="24"/>
        </w:rPr>
        <w:t>•</w:t>
      </w:r>
      <w:r>
        <w:rPr>
          <w:rFonts w:cs="Calibri"/>
          <w:color w:val="000000"/>
          <w:sz w:val="24"/>
          <w:szCs w:val="24"/>
        </w:rPr>
        <w:tab/>
        <w:t>l’accompagnement et la formation des acteurs de la lutte contre le racisme et l’antisémitisme</w:t>
      </w:r>
      <w:r/>
    </w:p>
    <w:p>
      <w:pPr>
        <w:pStyle w:val="Normal"/>
        <w:ind w:left="1276" w:right="0" w:hanging="0"/>
        <w:jc w:val="both"/>
        <w:rPr>
          <w:sz w:val="24"/>
          <w:sz w:val="24"/>
          <w:szCs w:val="24"/>
          <w:rFonts w:ascii="Calibri" w:hAnsi="Calibri" w:eastAsia="Calibri" w:cs="Calibri"/>
          <w:color w:val="000000"/>
          <w:lang w:val="fr-FR" w:eastAsia="en-US" w:bidi="ar-SA"/>
        </w:rPr>
      </w:pPr>
      <w:r>
        <w:rPr>
          <w:rFonts w:cs="Calibri"/>
          <w:color w:val="000000"/>
          <w:sz w:val="24"/>
          <w:szCs w:val="24"/>
        </w:rPr>
        <w:t>•</w:t>
      </w:r>
      <w:r>
        <w:rPr>
          <w:rFonts w:cs="Calibri"/>
          <w:color w:val="000000"/>
          <w:sz w:val="24"/>
          <w:szCs w:val="24"/>
        </w:rPr>
        <w:tab/>
        <w:t xml:space="preserve">le développement de mesures de responsabilisation </w:t>
      </w:r>
      <w:r/>
    </w:p>
    <w:p>
      <w:pPr>
        <w:pStyle w:val="Normal"/>
        <w:spacing w:lineRule="auto" w:line="240"/>
        <w:ind w:left="1276" w:right="0" w:hanging="0"/>
        <w:jc w:val="both"/>
      </w:pPr>
      <w:r>
        <w:rPr>
          <w:rFonts w:cs="Calibri"/>
          <w:color w:val="000000"/>
          <w:sz w:val="24"/>
          <w:szCs w:val="24"/>
        </w:rPr>
        <w:t>•</w:t>
      </w:r>
      <w:r>
        <w:rPr>
          <w:rFonts w:cs="Calibri"/>
          <w:color w:val="000000"/>
          <w:sz w:val="24"/>
          <w:szCs w:val="24"/>
        </w:rPr>
        <w:tab/>
      </w:r>
      <w:r>
        <w:rPr>
          <w:rFonts w:cs="Calibri"/>
          <w:b/>
          <w:color w:val="000000"/>
          <w:sz w:val="24"/>
          <w:szCs w:val="24"/>
        </w:rPr>
        <w:t>la participation à la semaine d’éducation et d’action contre le racisme et l’antisémitisme du 18 au 26 mars 2017</w:t>
      </w:r>
      <w:r/>
    </w:p>
    <w:p>
      <w:pPr>
        <w:pStyle w:val="Titre1"/>
        <w:spacing w:before="120" w:after="120"/>
        <w:jc w:val="center"/>
        <w:rPr>
          <w:smallCaps/>
          <w:sz w:val="32"/>
          <w:b/>
          <w:sz w:val="32"/>
          <w:b/>
          <w:szCs w:val="32"/>
          <w:bCs/>
          <w:rFonts w:ascii="Cambria" w:hAnsi="Cambria" w:eastAsia="Calibri" w:cs="Tahoma"/>
          <w:color w:val="000000"/>
          <w:lang w:val="fr-FR" w:eastAsia="en-US" w:bidi="ar-SA"/>
        </w:rPr>
      </w:pPr>
      <w:r>
        <w:rPr>
          <w:smallCaps/>
          <w:color w:val="000000"/>
          <w:sz w:val="32"/>
          <w:szCs w:val="32"/>
        </w:rPr>
        <w:t xml:space="preserve">Comment seront sélectionnées les candidatures ? </w:t>
      </w:r>
      <w:r/>
    </w:p>
    <w:p>
      <w:pPr>
        <w:pStyle w:val="Normal"/>
        <w:jc w:val="both"/>
        <w:rPr>
          <w:sz w:val="24"/>
          <w:sz w:val="24"/>
          <w:szCs w:val="24"/>
          <w:rFonts w:ascii="Calibri" w:hAnsi="Calibri" w:eastAsia="Calibri" w:cs="Tahoma"/>
          <w:color w:val="000000"/>
          <w:lang w:val="fr-FR" w:eastAsia="en-US" w:bidi="ar-SA"/>
        </w:rPr>
      </w:pPr>
      <w:r>
        <w:rPr>
          <w:color w:val="000000"/>
          <w:sz w:val="24"/>
          <w:szCs w:val="24"/>
        </w:rPr>
        <w:t xml:space="preserve">Les candidatures font d’abord l’objet d’une instruction et d’une pré-sélection locale dans le cadre des Comités opérationnels de lutte contre le racisme et l’antisémitisme, présidés par le Préfet du département </w:t>
      </w:r>
      <w:r/>
    </w:p>
    <w:p>
      <w:pPr>
        <w:pStyle w:val="Normal"/>
        <w:jc w:val="both"/>
        <w:rPr>
          <w:sz w:val="24"/>
          <w:sz w:val="24"/>
          <w:szCs w:val="24"/>
          <w:rFonts w:ascii="Calibri" w:hAnsi="Calibri" w:eastAsia="Calibri" w:cs="Calibri"/>
          <w:color w:val="000000"/>
          <w:lang w:val="fr-FR" w:eastAsia="en-US" w:bidi="ar-SA"/>
        </w:rPr>
      </w:pPr>
      <w:r>
        <w:rPr>
          <w:rFonts w:cs="Calibri"/>
          <w:color w:val="000000"/>
          <w:sz w:val="24"/>
          <w:szCs w:val="24"/>
        </w:rPr>
        <w:t>La DILCRA nationale procède à l’étude finale des projets et décide du montant de subvention allouée pour chaque dossier retenu. La DILCRA s’assure notamment du respect des critères et de l’équité territoriale</w:t>
      </w:r>
      <w:r/>
    </w:p>
    <w:p>
      <w:pPr>
        <w:pStyle w:val="Titre1"/>
        <w:spacing w:before="120" w:after="120"/>
        <w:jc w:val="center"/>
        <w:rPr>
          <w:smallCaps/>
          <w:sz w:val="32"/>
          <w:b/>
          <w:sz w:val="32"/>
          <w:b/>
          <w:szCs w:val="32"/>
          <w:bCs/>
          <w:rFonts w:ascii="Cambria" w:hAnsi="Cambria" w:eastAsia="Calibri" w:cs="Tahoma"/>
          <w:color w:val="000000"/>
          <w:lang w:val="fr-FR" w:eastAsia="en-US" w:bidi="ar-SA"/>
        </w:rPr>
      </w:pPr>
      <w:r>
        <w:rPr>
          <w:smallCaps/>
          <w:color w:val="000000"/>
          <w:sz w:val="32"/>
          <w:szCs w:val="32"/>
        </w:rPr>
        <w:t>Quels sont les engagements des lauréats ?</w:t>
      </w:r>
      <w:r/>
    </w:p>
    <w:p>
      <w:pPr>
        <w:pStyle w:val="Normal"/>
        <w:jc w:val="both"/>
        <w:rPr>
          <w:sz w:val="24"/>
          <w:sz w:val="24"/>
          <w:szCs w:val="24"/>
          <w:rFonts w:ascii="Calibri" w:hAnsi="Calibri" w:eastAsia="Calibri" w:cs="Calibri"/>
          <w:color w:val="000000"/>
          <w:lang w:val="fr-FR" w:eastAsia="en-US" w:bidi="ar-SA"/>
        </w:rPr>
      </w:pPr>
      <w:r>
        <w:rPr>
          <w:rFonts w:cs="Calibri"/>
          <w:color w:val="000000"/>
          <w:sz w:val="24"/>
          <w:szCs w:val="24"/>
        </w:rPr>
        <w:t xml:space="preserve">Les lauréats s’engagent à mettre en œuvre leur projet dans le courant de l’année 2017. </w:t>
      </w:r>
      <w:r/>
    </w:p>
    <w:p>
      <w:pPr>
        <w:pStyle w:val="Normal"/>
        <w:jc w:val="both"/>
        <w:rPr>
          <w:sz w:val="24"/>
          <w:sz w:val="24"/>
          <w:szCs w:val="24"/>
          <w:rFonts w:ascii="Calibri" w:hAnsi="Calibri" w:eastAsia="Calibri" w:cs="Calibri"/>
          <w:color w:val="000000"/>
          <w:lang w:val="fr-FR" w:eastAsia="en-US" w:bidi="ar-SA"/>
        </w:rPr>
      </w:pPr>
      <w:r>
        <w:rPr>
          <w:rFonts w:cs="Calibri"/>
          <w:color w:val="000000"/>
          <w:sz w:val="24"/>
          <w:szCs w:val="24"/>
        </w:rPr>
        <w:t>Les lauréats s’engagent à respecter les valeurs de la République.</w:t>
      </w:r>
      <w:r/>
    </w:p>
    <w:p>
      <w:pPr>
        <w:pStyle w:val="Normal"/>
        <w:jc w:val="both"/>
        <w:rPr>
          <w:sz w:val="24"/>
          <w:sz w:val="24"/>
          <w:szCs w:val="24"/>
          <w:rFonts w:ascii="Calibri" w:hAnsi="Calibri" w:eastAsia="Calibri" w:cs="Calibri"/>
          <w:color w:val="000000"/>
          <w:lang w:val="fr-FR" w:eastAsia="en-US" w:bidi="ar-SA"/>
        </w:rPr>
      </w:pPr>
      <w:r>
        <w:rPr>
          <w:rFonts w:cs="Calibri"/>
          <w:color w:val="000000"/>
          <w:sz w:val="24"/>
          <w:szCs w:val="24"/>
        </w:rPr>
        <w:t xml:space="preserve">Ils doivent apposer le logo de la DILCRA sur tous les supports de communication relatifs à l’action financée. </w:t>
      </w:r>
      <w:r/>
    </w:p>
    <w:p>
      <w:pPr>
        <w:pStyle w:val="Titre1"/>
        <w:spacing w:before="120" w:after="120"/>
        <w:jc w:val="center"/>
        <w:rPr>
          <w:smallCaps/>
          <w:sz w:val="32"/>
          <w:b/>
          <w:sz w:val="32"/>
          <w:b/>
          <w:szCs w:val="32"/>
          <w:bCs/>
          <w:rFonts w:ascii="Cambria" w:hAnsi="Cambria" w:eastAsia="Calibri" w:cs="Tahoma"/>
          <w:color w:val="000000"/>
          <w:lang w:val="fr-FR" w:eastAsia="en-US" w:bidi="ar-SA"/>
        </w:rPr>
      </w:pPr>
      <w:r>
        <w:rPr>
          <w:smallCaps/>
          <w:color w:val="000000"/>
          <w:sz w:val="32"/>
          <w:szCs w:val="32"/>
        </w:rPr>
        <w:t>Comment déposer un dossier de candidature ?</w:t>
      </w:r>
      <w:r/>
    </w:p>
    <w:p>
      <w:pPr>
        <w:pStyle w:val="Titre2"/>
        <w:jc w:val="center"/>
        <w:rPr>
          <w:sz w:val="26"/>
          <w:b/>
          <w:sz w:val="26"/>
          <w:b/>
          <w:szCs w:val="26"/>
          <w:bCs/>
          <w:rFonts w:ascii="Cambria" w:hAnsi="Cambria" w:eastAsia="Calibri" w:cs="Tahoma"/>
          <w:color w:val="000000"/>
          <w:lang w:val="fr-FR" w:eastAsia="en-US" w:bidi="ar-SA"/>
        </w:rPr>
      </w:pPr>
      <w:r>
        <w:rPr>
          <w:color w:val="000000"/>
        </w:rPr>
        <w:t>Quelles sont les pièces à fournir ?</w:t>
      </w:r>
      <w:r/>
    </w:p>
    <w:p>
      <w:pPr>
        <w:pStyle w:val="Normal"/>
        <w:jc w:val="both"/>
        <w:rPr>
          <w:sz w:val="24"/>
          <w:sz w:val="24"/>
          <w:szCs w:val="24"/>
          <w:rFonts w:ascii="Calibri" w:hAnsi="Calibri" w:eastAsia="Calibri" w:cs="Calibri"/>
          <w:color w:val="000000"/>
          <w:lang w:val="fr-FR" w:eastAsia="en-US" w:bidi="ar-SA"/>
        </w:rPr>
      </w:pPr>
      <w:r>
        <w:rPr>
          <w:rFonts w:cs="Calibri"/>
          <w:color w:val="000000"/>
          <w:sz w:val="24"/>
          <w:szCs w:val="24"/>
        </w:rPr>
        <w:t>Le dossier de candidature comporte :</w:t>
      </w:r>
      <w:r/>
    </w:p>
    <w:p>
      <w:pPr>
        <w:pStyle w:val="ListParagraph"/>
        <w:numPr>
          <w:ilvl w:val="0"/>
          <w:numId w:val="2"/>
        </w:numPr>
        <w:spacing w:before="0" w:after="120"/>
        <w:ind w:left="714" w:right="0" w:hanging="357"/>
        <w:jc w:val="both"/>
      </w:pPr>
      <w:r>
        <w:rPr>
          <w:rFonts w:cs="Calibri"/>
          <w:color w:val="000000"/>
          <w:sz w:val="24"/>
          <w:szCs w:val="24"/>
        </w:rPr>
        <w:t xml:space="preserve">Le formulaire CERFA </w:t>
      </w:r>
      <w:r>
        <w:rPr>
          <w:rFonts w:cs="Calibri"/>
          <w:b/>
          <w:bCs/>
          <w:color w:val="000000"/>
          <w:sz w:val="24"/>
          <w:szCs w:val="24"/>
        </w:rPr>
        <w:t>N°12156*03 (annexe)</w:t>
      </w:r>
      <w:r/>
    </w:p>
    <w:p>
      <w:pPr>
        <w:pStyle w:val="ListParagraph"/>
        <w:numPr>
          <w:ilvl w:val="0"/>
          <w:numId w:val="2"/>
        </w:numPr>
        <w:spacing w:lineRule="auto" w:line="240" w:before="0" w:after="120"/>
        <w:ind w:left="714" w:right="0" w:hanging="357"/>
      </w:pPr>
      <w:r>
        <w:rPr>
          <w:rFonts w:cs="Arial"/>
          <w:color w:val="000000"/>
          <w:sz w:val="24"/>
          <w:szCs w:val="24"/>
        </w:rPr>
        <w:t xml:space="preserve">Les </w:t>
      </w:r>
      <w:r>
        <w:rPr>
          <w:rFonts w:cs="Arial"/>
          <w:b/>
          <w:bCs/>
          <w:color w:val="000000"/>
          <w:sz w:val="24"/>
          <w:szCs w:val="24"/>
        </w:rPr>
        <w:t>statuts régulièrement déclarés</w:t>
      </w:r>
      <w:r>
        <w:rPr>
          <w:rFonts w:cs="Arial"/>
          <w:color w:val="000000"/>
          <w:sz w:val="24"/>
          <w:szCs w:val="24"/>
        </w:rPr>
        <w:t>, en un seul exemplaire Si l’association est enregistrée dans le RNA (Cf. page 2), il n’est pas nécessaire de les joindre.</w:t>
      </w:r>
      <w:r/>
    </w:p>
    <w:p>
      <w:pPr>
        <w:pStyle w:val="ListParagraph"/>
        <w:numPr>
          <w:ilvl w:val="0"/>
          <w:numId w:val="2"/>
        </w:numPr>
        <w:spacing w:lineRule="auto" w:line="240" w:before="0" w:after="120"/>
        <w:ind w:left="714" w:right="0" w:hanging="357"/>
      </w:pPr>
      <w:r>
        <w:rPr>
          <w:rFonts w:cs="Arial"/>
          <w:color w:val="000000"/>
          <w:sz w:val="24"/>
          <w:szCs w:val="24"/>
        </w:rPr>
        <w:t xml:space="preserve">La </w:t>
      </w:r>
      <w:r>
        <w:rPr>
          <w:rFonts w:cs="Arial"/>
          <w:b/>
          <w:bCs/>
          <w:color w:val="000000"/>
          <w:sz w:val="24"/>
          <w:szCs w:val="24"/>
        </w:rPr>
        <w:t xml:space="preserve">liste </w:t>
      </w:r>
      <w:r>
        <w:rPr>
          <w:rFonts w:cs="Arial"/>
          <w:color w:val="000000"/>
          <w:sz w:val="24"/>
          <w:szCs w:val="24"/>
        </w:rPr>
        <w:t>des personnes chargées de l’administration de l’association régulièrement déclarée (composition du conseil, du bureau…). Il n’est pas nécessaire de la joindre si l’association est enregistrée dans le répertoire national des associations (RNA).</w:t>
      </w:r>
      <w:r/>
    </w:p>
    <w:p>
      <w:pPr>
        <w:pStyle w:val="ListParagraph"/>
        <w:numPr>
          <w:ilvl w:val="0"/>
          <w:numId w:val="2"/>
        </w:numPr>
        <w:spacing w:lineRule="auto" w:line="240" w:before="0" w:after="120"/>
        <w:ind w:left="714" w:right="0" w:hanging="357"/>
      </w:pPr>
      <w:r>
        <w:rPr>
          <w:rFonts w:cs="Arial"/>
          <w:color w:val="000000"/>
          <w:sz w:val="24"/>
          <w:szCs w:val="24"/>
        </w:rPr>
        <w:t xml:space="preserve">Un </w:t>
      </w:r>
      <w:r>
        <w:rPr>
          <w:rFonts w:cs="Arial"/>
          <w:b/>
          <w:bCs/>
          <w:color w:val="000000"/>
          <w:sz w:val="24"/>
          <w:szCs w:val="24"/>
        </w:rPr>
        <w:t>relevé d’identité bancaire</w:t>
      </w:r>
      <w:r>
        <w:rPr>
          <w:rFonts w:cs="Arial"/>
          <w:color w:val="000000"/>
          <w:sz w:val="24"/>
          <w:szCs w:val="24"/>
        </w:rPr>
        <w:t>, portant une adresse correspondant à celle du n°SIRET.</w:t>
      </w:r>
      <w:r/>
    </w:p>
    <w:p>
      <w:pPr>
        <w:pStyle w:val="ListParagraph"/>
        <w:numPr>
          <w:ilvl w:val="0"/>
          <w:numId w:val="2"/>
        </w:numPr>
        <w:spacing w:lineRule="auto" w:line="240" w:before="0" w:after="120"/>
        <w:ind w:left="714" w:right="0" w:hanging="357"/>
      </w:pPr>
      <w:r>
        <w:rPr>
          <w:rFonts w:cs="Arial"/>
          <w:color w:val="000000"/>
          <w:sz w:val="24"/>
          <w:szCs w:val="24"/>
        </w:rPr>
        <w:t xml:space="preserve">Si le dossier de candidature n’est pas signé par le représentant légal de l’association, </w:t>
      </w:r>
      <w:r>
        <w:rPr>
          <w:rFonts w:cs="Arial"/>
          <w:b/>
          <w:bCs/>
          <w:color w:val="000000"/>
          <w:sz w:val="24"/>
          <w:szCs w:val="24"/>
        </w:rPr>
        <w:t>le pouvoir donné par ce dernier au signataire</w:t>
      </w:r>
      <w:r>
        <w:rPr>
          <w:rFonts w:cs="Arial"/>
          <w:color w:val="000000"/>
          <w:sz w:val="24"/>
          <w:szCs w:val="24"/>
        </w:rPr>
        <w:t>.</w:t>
      </w:r>
      <w:r/>
    </w:p>
    <w:p>
      <w:pPr>
        <w:pStyle w:val="ListParagraph"/>
        <w:numPr>
          <w:ilvl w:val="0"/>
          <w:numId w:val="2"/>
        </w:numPr>
        <w:spacing w:lineRule="auto" w:line="240" w:before="0" w:after="120"/>
        <w:ind w:left="714" w:right="0" w:hanging="357"/>
        <w:rPr>
          <w:sz w:val="24"/>
          <w:sz w:val="24"/>
          <w:szCs w:val="24"/>
          <w:rFonts w:ascii="Calibri" w:hAnsi="Calibri" w:eastAsia="Calibri" w:cs="Arial"/>
          <w:color w:val="000000"/>
          <w:lang w:val="fr-FR" w:eastAsia="en-US" w:bidi="ar-SA"/>
        </w:rPr>
      </w:pPr>
      <w:r>
        <w:rPr>
          <w:rFonts w:cs="Arial"/>
          <w:color w:val="000000"/>
          <w:sz w:val="24"/>
          <w:szCs w:val="24"/>
        </w:rPr>
        <w:t>Les comptes approuvés du dernier exercice clos.</w:t>
      </w:r>
      <w:r/>
    </w:p>
    <w:p>
      <w:pPr>
        <w:pStyle w:val="ListParagraph"/>
        <w:numPr>
          <w:ilvl w:val="0"/>
          <w:numId w:val="2"/>
        </w:numPr>
        <w:spacing w:lineRule="auto" w:line="240" w:before="0" w:after="120"/>
        <w:ind w:left="714" w:right="0" w:hanging="357"/>
        <w:rPr>
          <w:sz w:val="24"/>
          <w:sz w:val="24"/>
          <w:szCs w:val="24"/>
          <w:rFonts w:ascii="Calibri" w:hAnsi="Calibri" w:eastAsia="Calibri" w:cs="Arial"/>
          <w:color w:val="000000"/>
          <w:lang w:val="fr-FR" w:eastAsia="en-US" w:bidi="ar-SA"/>
        </w:rPr>
      </w:pPr>
      <w:r>
        <w:rPr>
          <w:rFonts w:cs="Arial"/>
          <w:color w:val="000000"/>
          <w:sz w:val="24"/>
          <w:szCs w:val="24"/>
        </w:rPr>
        <w:t>Le rapport du commissaire aux comptes pour les associations qui en ont désigné un, notamment celles qui ont reçu annuellement plus de 153 000 euros de dons ou de subventions</w:t>
      </w:r>
      <w:r/>
    </w:p>
    <w:p>
      <w:pPr>
        <w:pStyle w:val="ListParagraph"/>
        <w:numPr>
          <w:ilvl w:val="0"/>
          <w:numId w:val="2"/>
        </w:numPr>
        <w:spacing w:lineRule="auto" w:line="240" w:before="0" w:after="120"/>
        <w:ind w:left="714" w:right="0" w:hanging="357"/>
        <w:rPr>
          <w:sz w:val="24"/>
          <w:sz w:val="24"/>
          <w:szCs w:val="24"/>
          <w:rFonts w:ascii="Calibri" w:hAnsi="Calibri" w:eastAsia="Calibri" w:cs="Arial"/>
          <w:color w:val="000000"/>
          <w:lang w:val="fr-FR" w:eastAsia="en-US" w:bidi="ar-SA"/>
        </w:rPr>
      </w:pPr>
      <w:r>
        <w:rPr>
          <w:rFonts w:cs="Arial"/>
          <w:color w:val="000000"/>
          <w:sz w:val="24"/>
          <w:szCs w:val="24"/>
        </w:rPr>
        <w:t>Le cas échéant, la référence de la publication sur le site internet des JO des documents ci-dessus. En ce cas, il n’est pas nécessaire de les joindre.</w:t>
      </w:r>
      <w:r/>
    </w:p>
    <w:p>
      <w:pPr>
        <w:pStyle w:val="ListParagraph"/>
        <w:numPr>
          <w:ilvl w:val="0"/>
          <w:numId w:val="2"/>
        </w:numPr>
        <w:spacing w:before="0" w:after="120"/>
        <w:ind w:left="714" w:right="0" w:hanging="357"/>
        <w:rPr>
          <w:sz w:val="24"/>
          <w:sz w:val="24"/>
          <w:szCs w:val="24"/>
          <w:rFonts w:ascii="Calibri" w:hAnsi="Calibri" w:eastAsia="Calibri" w:cs="Arial"/>
          <w:color w:val="000000"/>
          <w:lang w:val="fr-FR" w:eastAsia="en-US" w:bidi="ar-SA"/>
        </w:rPr>
      </w:pPr>
      <w:r>
        <w:rPr>
          <w:rFonts w:cs="Arial"/>
          <w:color w:val="000000"/>
          <w:sz w:val="24"/>
          <w:szCs w:val="24"/>
        </w:rPr>
        <w:t>Le plus récent rapport d’activité approuvé.</w:t>
      </w:r>
      <w:r/>
    </w:p>
    <w:p>
      <w:pPr>
        <w:pStyle w:val="Titre2"/>
        <w:jc w:val="center"/>
        <w:rPr>
          <w:sz w:val="26"/>
          <w:b/>
          <w:sz w:val="26"/>
          <w:b/>
          <w:szCs w:val="26"/>
          <w:bCs/>
          <w:rFonts w:ascii="Cambria" w:hAnsi="Cambria" w:eastAsia="Calibri" w:cs="Tahoma"/>
          <w:color w:val="000000"/>
          <w:lang w:val="fr-FR" w:eastAsia="en-US" w:bidi="ar-SA"/>
        </w:rPr>
      </w:pPr>
      <w:r>
        <w:rPr>
          <w:color w:val="000000"/>
        </w:rPr>
        <w:t>Où déposer mon dossier de candidature ?</w:t>
      </w:r>
      <w:r/>
    </w:p>
    <w:p>
      <w:pPr>
        <w:pStyle w:val="Normal"/>
        <w:spacing w:lineRule="auto" w:line="240"/>
        <w:jc w:val="center"/>
      </w:pPr>
      <w:r>
        <w:rPr>
          <w:color w:val="000000"/>
          <w:sz w:val="24"/>
          <w:szCs w:val="24"/>
        </w:rPr>
        <w:t>Préfecture du Nord</w:t>
        <w:br/>
        <w:t>Madame la Préfète déléguée pour l’égalité des chances</w:t>
        <w:br/>
        <w:t>Dossier suivi par Laurent DUMONTEIL</w:t>
        <w:br/>
        <w:t>2, rue Jacquemars Gielée</w:t>
        <w:br/>
        <w:t>CS 20003</w:t>
        <w:br/>
      </w:r>
      <w:r>
        <w:rPr>
          <w:rFonts w:cs="Calibri"/>
          <w:i w:val="false"/>
          <w:iCs w:val="false"/>
          <w:color w:val="000000"/>
          <w:sz w:val="24"/>
          <w:szCs w:val="24"/>
        </w:rPr>
        <w:t>59039 LILLE Cedex</w:t>
      </w:r>
      <w:r/>
    </w:p>
    <w:p>
      <w:pPr>
        <w:pStyle w:val="Normal"/>
        <w:spacing w:lineRule="auto" w:line="240" w:before="0" w:after="198"/>
        <w:ind w:left="-57" w:right="0" w:hanging="0"/>
        <w:contextualSpacing/>
        <w:jc w:val="center"/>
      </w:pPr>
      <w:hyperlink r:id="rId4">
        <w:r>
          <w:rPr>
            <w:rStyle w:val="LienInternet"/>
            <w:rFonts w:cs="Calibri"/>
            <w:i w:val="false"/>
            <w:iCs w:val="false"/>
            <w:color w:val="000000"/>
            <w:sz w:val="24"/>
            <w:szCs w:val="24"/>
          </w:rPr>
          <w:t>pref-pdec-polville@nord.gouv.fr</w:t>
        </w:r>
      </w:hyperlink>
      <w:r/>
    </w:p>
    <w:p>
      <w:pPr>
        <w:pStyle w:val="Normal"/>
        <w:spacing w:lineRule="auto" w:line="240" w:before="0" w:after="198"/>
        <w:ind w:left="-57" w:right="0" w:hanging="0"/>
        <w:contextualSpacing/>
        <w:jc w:val="center"/>
      </w:pPr>
      <w:r>
        <w:rPr>
          <w:rStyle w:val="LienInternet"/>
          <w:rFonts w:cs="Calibri" w:ascii="Arial" w:hAnsi="Arial"/>
          <w:i w:val="false"/>
          <w:iCs w:val="false"/>
          <w:color w:val="000000"/>
          <w:sz w:val="20"/>
          <w:szCs w:val="20"/>
        </w:rPr>
        <w:t>06.48.37.61.43</w:t>
      </w:r>
      <w:r/>
    </w:p>
    <w:p>
      <w:pPr>
        <w:pStyle w:val="Titre2"/>
        <w:jc w:val="center"/>
        <w:rPr>
          <w:sz w:val="26"/>
          <w:b/>
          <w:sz w:val="26"/>
          <w:b/>
          <w:szCs w:val="26"/>
          <w:bCs/>
          <w:rFonts w:ascii="Cambria" w:hAnsi="Cambria" w:eastAsia="Calibri" w:cs="Tahoma"/>
          <w:color w:val="000000"/>
          <w:lang w:val="fr-FR" w:eastAsia="en-US" w:bidi="ar-SA"/>
        </w:rPr>
      </w:pPr>
      <w:r>
        <w:rPr>
          <w:color w:val="000000"/>
        </w:rPr>
        <w:t>Quand et comment les lauréats de l’appel à projet seront-ils avisés?</w:t>
      </w:r>
      <w:r/>
    </w:p>
    <w:p>
      <w:pPr>
        <w:pStyle w:val="Normal"/>
        <w:jc w:val="both"/>
      </w:pPr>
      <w:r>
        <w:rPr>
          <w:color w:val="000000"/>
          <w:sz w:val="24"/>
          <w:szCs w:val="24"/>
        </w:rPr>
        <w:t xml:space="preserve">Les lauréats de l’appel à projet seront avisés par les services de la Préfecture dont ils relèvent dans le courant du mois de mars 2017 du montant de la subvention qui leur a été attribué et des modalités de versement de cette subvention. </w:t>
      </w:r>
      <w:r/>
    </w:p>
    <w:p>
      <w:pPr>
        <w:pStyle w:val="Titre1"/>
        <w:spacing w:before="120" w:after="120"/>
        <w:jc w:val="center"/>
        <w:rPr>
          <w:smallCaps/>
          <w:sz w:val="32"/>
          <w:b/>
          <w:sz w:val="32"/>
          <w:b/>
          <w:szCs w:val="32"/>
          <w:bCs/>
          <w:rFonts w:ascii="Cambria" w:hAnsi="Cambria" w:eastAsia="Calibri" w:cs="Tahoma"/>
          <w:color w:val="000000"/>
          <w:lang w:val="fr-FR" w:eastAsia="en-US" w:bidi="ar-SA"/>
        </w:rPr>
      </w:pPr>
      <w:r>
        <w:rPr>
          <w:smallCaps/>
          <w:color w:val="000000"/>
          <w:sz w:val="32"/>
          <w:szCs w:val="32"/>
        </w:rPr>
        <w:t>Calendrier</w:t>
      </w:r>
      <w:r/>
    </w:p>
    <w:p>
      <w:pPr>
        <w:pStyle w:val="ListParagraph"/>
        <w:numPr>
          <w:ilvl w:val="0"/>
          <w:numId w:val="1"/>
        </w:numPr>
        <w:jc w:val="both"/>
      </w:pPr>
      <w:r>
        <w:rPr>
          <w:rFonts w:cs="Calibri"/>
          <w:color w:val="000000"/>
          <w:sz w:val="24"/>
          <w:szCs w:val="24"/>
        </w:rPr>
        <w:t>Du 2 décembre 2016 au 1</w:t>
      </w:r>
      <w:r>
        <w:rPr>
          <w:rFonts w:cs="Calibri"/>
          <w:color w:val="000000"/>
          <w:sz w:val="24"/>
          <w:szCs w:val="24"/>
        </w:rPr>
        <w:t>3</w:t>
      </w:r>
      <w:r>
        <w:rPr>
          <w:rFonts w:cs="Calibri"/>
          <w:color w:val="000000"/>
          <w:sz w:val="24"/>
          <w:szCs w:val="24"/>
        </w:rPr>
        <w:t xml:space="preserve"> janvier </w:t>
      </w:r>
      <w:r>
        <w:rPr>
          <w:rFonts w:cs="Calibri"/>
          <w:color w:val="000000"/>
          <w:sz w:val="24"/>
          <w:szCs w:val="24"/>
        </w:rPr>
        <w:t xml:space="preserve">minuit </w:t>
      </w:r>
      <w:r>
        <w:rPr>
          <w:rFonts w:cs="Calibri"/>
          <w:color w:val="000000"/>
          <w:sz w:val="24"/>
          <w:szCs w:val="24"/>
        </w:rPr>
        <w:t>2017: dépôts des candidatures.</w:t>
      </w:r>
      <w:r/>
    </w:p>
    <w:p>
      <w:pPr>
        <w:pStyle w:val="ListParagraph"/>
        <w:numPr>
          <w:ilvl w:val="0"/>
          <w:numId w:val="1"/>
        </w:numPr>
        <w:jc w:val="both"/>
      </w:pPr>
      <w:r>
        <w:rPr>
          <w:rFonts w:cs="Calibri"/>
          <w:color w:val="000000"/>
          <w:sz w:val="24"/>
          <w:szCs w:val="24"/>
        </w:rPr>
        <w:t>15 janvier 2017-3 février 2017: Commissions locales de sélection</w:t>
      </w:r>
      <w:r/>
    </w:p>
    <w:p>
      <w:pPr>
        <w:pStyle w:val="ListParagraph"/>
        <w:numPr>
          <w:ilvl w:val="0"/>
          <w:numId w:val="1"/>
        </w:numPr>
        <w:jc w:val="both"/>
        <w:rPr>
          <w:sz w:val="24"/>
          <w:sz w:val="24"/>
          <w:szCs w:val="24"/>
          <w:rFonts w:ascii="Calibri" w:hAnsi="Calibri" w:eastAsia="Calibri" w:cs="Calibri"/>
          <w:color w:val="000000"/>
          <w:lang w:val="fr-FR" w:eastAsia="en-US" w:bidi="ar-SA"/>
        </w:rPr>
      </w:pPr>
      <w:r>
        <w:rPr>
          <w:rFonts w:cs="Calibri"/>
          <w:color w:val="000000"/>
          <w:sz w:val="24"/>
          <w:szCs w:val="24"/>
        </w:rPr>
        <w:t>3 février – 27 février – Commissions nationales d’attribution</w:t>
      </w:r>
      <w:r/>
    </w:p>
    <w:p>
      <w:pPr>
        <w:pStyle w:val="ListParagraph"/>
        <w:numPr>
          <w:ilvl w:val="0"/>
          <w:numId w:val="1"/>
        </w:numPr>
        <w:spacing w:before="0" w:after="200"/>
        <w:contextualSpacing/>
        <w:jc w:val="both"/>
      </w:pPr>
      <w:r>
        <w:rPr>
          <w:rFonts w:cs="Calibri"/>
          <w:color w:val="000000"/>
          <w:sz w:val="24"/>
          <w:szCs w:val="24"/>
        </w:rPr>
        <w:t>mars 2017 : Notification des résultats de l’appel à projets aux lauréats</w:t>
      </w:r>
      <w:r/>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edebasdepage"/>
        <w:spacing w:before="0" w:after="200"/>
      </w:pPr>
      <w:hyperlink r:id="rId1">
        <w:r>
          <w:rPr>
            <w:rStyle w:val="LienInternet"/>
            <w:rFonts w:cs="Calibri"/>
            <w:color w:val="1F497D"/>
            <w:sz w:val="19"/>
            <w:szCs w:val="19"/>
          </w:rPr>
          <w:footnoteRef/>
          <w:tab/>
        </w:r>
        <w:r>
          <w:rPr>
            <w:rStyle w:val="LienInternet"/>
            <w:rFonts w:cs="Calibri"/>
            <w:color w:val="1F497D"/>
            <w:sz w:val="19"/>
            <w:szCs w:val="19"/>
          </w:rPr>
          <w:t>http://www.gouvernement.fr/sites/default/files/contenu/piece-jointe/2015/09/racisme_antisemitisme-dilcra.pdf</w:t>
        </w:r>
      </w:hyperlink>
      <w:r/>
    </w:p>
    <w:p>
      <w:pPr>
        <w:pStyle w:val="Notedebasdepage"/>
        <w:spacing w:before="0" w:after="200"/>
      </w:pPr>
      <w:r>
        <w:rPr/>
      </w: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8"/>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fr-FR" w:eastAsia="en-US" w:bidi="ar-SA"/>
      </w:rPr>
    </w:rPrDefault>
    <w:pPrDefault>
      <w:pPr>
        <w:spacing w:lineRule="auto" w:line="276"/>
      </w:pPr>
    </w:pPrDefault>
  </w:docDefaults>
  <w:style w:type="paragraph" w:styleId="Normal">
    <w:name w:val="Normal"/>
    <w:pPr>
      <w:widowControl/>
      <w:suppressAutoHyphens w:val="true"/>
      <w:overflowPunct w:val="false"/>
      <w:bidi w:val="0"/>
      <w:spacing w:lineRule="auto" w:line="276" w:before="0" w:after="200"/>
      <w:jc w:val="left"/>
    </w:pPr>
    <w:rPr>
      <w:rFonts w:ascii="Calibri" w:hAnsi="Calibri" w:eastAsia="Calibri" w:cs="Tahoma"/>
      <w:color w:val="00000A"/>
      <w:sz w:val="22"/>
      <w:szCs w:val="22"/>
      <w:lang w:val="fr-FR" w:eastAsia="en-US" w:bidi="ar-SA"/>
    </w:rPr>
  </w:style>
  <w:style w:type="paragraph" w:styleId="Titre1">
    <w:name w:val="Titre 1"/>
    <w:basedOn w:val="Normal"/>
    <w:next w:val="Normal"/>
    <w:pPr>
      <w:keepNext/>
      <w:keepLines/>
      <w:spacing w:before="480" w:after="0"/>
      <w:outlineLvl w:val="0"/>
    </w:pPr>
    <w:rPr>
      <w:rFonts w:ascii="Cambria" w:hAnsi="Cambria" w:eastAsia="Calibri" w:cs="Tahoma"/>
      <w:b/>
      <w:bCs/>
      <w:color w:val="365F91"/>
      <w:sz w:val="28"/>
      <w:szCs w:val="28"/>
    </w:rPr>
  </w:style>
  <w:style w:type="paragraph" w:styleId="Titre2">
    <w:name w:val="Titre 2"/>
    <w:basedOn w:val="Normal"/>
    <w:next w:val="Normal"/>
    <w:pPr>
      <w:keepNext/>
      <w:keepLines/>
      <w:spacing w:before="200" w:after="0"/>
      <w:outlineLvl w:val="1"/>
    </w:pPr>
    <w:rPr>
      <w:rFonts w:ascii="Cambria" w:hAnsi="Cambria" w:eastAsia="Calibri" w:cs="Tahoma"/>
      <w:b/>
      <w:bCs/>
      <w:color w:val="4F81BD"/>
      <w:sz w:val="26"/>
      <w:szCs w:val="26"/>
    </w:rPr>
  </w:style>
  <w:style w:type="character" w:styleId="DefaultParagraphFont">
    <w:name w:val="Default Paragraph Font"/>
    <w:rPr/>
  </w:style>
  <w:style w:type="character" w:styleId="EntteCar">
    <w:name w:val="En-tête Car"/>
    <w:basedOn w:val="DefaultParagraphFont"/>
    <w:rPr/>
  </w:style>
  <w:style w:type="character" w:styleId="PieddepageCar">
    <w:name w:val="Pied de page Car"/>
    <w:basedOn w:val="DefaultParagraphFont"/>
    <w:rPr/>
  </w:style>
  <w:style w:type="character" w:styleId="TextedebullesCar">
    <w:name w:val="Texte de bulles Car"/>
    <w:basedOn w:val="DefaultParagraphFont"/>
    <w:rPr>
      <w:rFonts w:ascii="Tahoma" w:hAnsi="Tahoma" w:cs="Tahoma"/>
      <w:sz w:val="16"/>
      <w:szCs w:val="16"/>
    </w:rPr>
  </w:style>
  <w:style w:type="character" w:styleId="LienInternet">
    <w:name w:val="Lien Internet"/>
    <w:basedOn w:val="DefaultParagraphFont"/>
    <w:rPr>
      <w:color w:val="0000FF"/>
      <w:u w:val="single"/>
      <w:lang w:val="zxx" w:eastAsia="zxx" w:bidi="zxx"/>
    </w:rPr>
  </w:style>
  <w:style w:type="character" w:styleId="Annotationreference">
    <w:name w:val="annotation reference"/>
    <w:basedOn w:val="DefaultParagraphFont"/>
    <w:rPr>
      <w:sz w:val="16"/>
      <w:szCs w:val="16"/>
    </w:rPr>
  </w:style>
  <w:style w:type="character" w:styleId="CommentaireCar">
    <w:name w:val="Commentaire Car"/>
    <w:basedOn w:val="DefaultParagraphFont"/>
    <w:rPr>
      <w:sz w:val="20"/>
      <w:szCs w:val="20"/>
    </w:rPr>
  </w:style>
  <w:style w:type="character" w:styleId="ObjetducommentaireCar">
    <w:name w:val="Objet du commentaire Car"/>
    <w:basedOn w:val="CommentaireCar"/>
    <w:rPr>
      <w:b/>
      <w:bCs/>
      <w:sz w:val="20"/>
      <w:szCs w:val="20"/>
    </w:rPr>
  </w:style>
  <w:style w:type="character" w:styleId="Titre1Car">
    <w:name w:val="Titre 1 Car"/>
    <w:basedOn w:val="DefaultParagraphFont"/>
    <w:rPr>
      <w:rFonts w:ascii="Cambria" w:hAnsi="Cambria" w:eastAsia="Calibri" w:cs="Tahoma"/>
      <w:b/>
      <w:bCs/>
      <w:color w:val="365F91"/>
      <w:sz w:val="28"/>
      <w:szCs w:val="28"/>
    </w:rPr>
  </w:style>
  <w:style w:type="character" w:styleId="Titre2Car">
    <w:name w:val="Titre 2 Car"/>
    <w:basedOn w:val="DefaultParagraphFont"/>
    <w:rPr>
      <w:rFonts w:ascii="Cambria" w:hAnsi="Cambria" w:eastAsia="Calibri" w:cs="Tahoma"/>
      <w:b/>
      <w:bCs/>
      <w:color w:val="4F81BD"/>
      <w:sz w:val="26"/>
      <w:szCs w:val="26"/>
    </w:rPr>
  </w:style>
  <w:style w:type="character" w:styleId="NotedebasdepageCar">
    <w:name w:val="Note de bas de page Car"/>
    <w:basedOn w:val="DefaultParagraphFont"/>
    <w:rPr>
      <w:rFonts w:ascii="Calibri" w:hAnsi="Calibri" w:cs="Calibri"/>
      <w:sz w:val="20"/>
      <w:szCs w:val="20"/>
    </w:rPr>
  </w:style>
  <w:style w:type="character" w:styleId="Footnotereference">
    <w:name w:val="footnote reference"/>
    <w:basedOn w:val="DefaultParagraphFont"/>
    <w:rPr>
      <w:vertAlign w:val="superscript"/>
    </w:rPr>
  </w:style>
  <w:style w:type="character" w:styleId="FollowedHyperlink">
    <w:name w:val="FollowedHyperlink"/>
    <w:basedOn w:val="DefaultParagraphFont"/>
    <w:rPr>
      <w:color w:val="800080"/>
      <w:u w:val="single"/>
    </w:rPr>
  </w:style>
  <w:style w:type="character" w:styleId="ListLabel1">
    <w:name w:val="ListLabel 1"/>
    <w:rPr>
      <w:rFonts w:cs="Courier New"/>
    </w:rPr>
  </w:style>
  <w:style w:type="character" w:styleId="ListLabel2">
    <w:name w:val="ListLabel 2"/>
    <w:rPr>
      <w:rFonts w:eastAsia="Calibri" w:cs="Calibri"/>
    </w:rPr>
  </w:style>
  <w:style w:type="character" w:styleId="Ancredenotedebasdepage">
    <w:name w:val="Ancre de note de bas de page"/>
    <w:rPr>
      <w:vertAlign w:val="superscript"/>
    </w:rPr>
  </w:style>
  <w:style w:type="character" w:styleId="LienInternetvisit">
    <w:name w:val="Lien Internet visité"/>
    <w:rPr>
      <w:color w:val="800000"/>
      <w:u w:val="single"/>
      <w:lang w:val="zxx" w:eastAsia="zxx" w:bidi="zxx"/>
    </w:rPr>
  </w:style>
  <w:style w:type="character" w:styleId="Ancredenotedefin">
    <w:name w:val="Ancre de note de fin"/>
    <w:rPr>
      <w:vertAlign w:val="superscript"/>
    </w:rPr>
  </w:style>
  <w:style w:type="character" w:styleId="ListLabel3">
    <w:name w:val="ListLabel 3"/>
    <w:rPr>
      <w:rFonts w:cs="Symbol"/>
    </w:rPr>
  </w:style>
  <w:style w:type="character" w:styleId="ListLabel4">
    <w:name w:val="ListLabel 4"/>
    <w:rPr>
      <w:rFonts w:cs="Courier New"/>
    </w:rPr>
  </w:style>
  <w:style w:type="character" w:styleId="ListLabel5">
    <w:name w:val="ListLabel 5"/>
    <w:rPr>
      <w:rFonts w:cs="Wingdings"/>
    </w:rPr>
  </w:style>
  <w:style w:type="character" w:styleId="ListLabel6">
    <w:name w:val="ListLabel 6"/>
    <w:rPr>
      <w:rFonts w:cs="Calibri"/>
    </w:rPr>
  </w:style>
  <w:style w:type="character" w:styleId="ListLabel7">
    <w:name w:val="ListLabel 7"/>
    <w:rPr>
      <w:rFonts w:cs="Symbol"/>
    </w:rPr>
  </w:style>
  <w:style w:type="character" w:styleId="ListLabel8">
    <w:name w:val="ListLabel 8"/>
    <w:rPr>
      <w:rFonts w:cs="Courier New"/>
    </w:rPr>
  </w:style>
  <w:style w:type="character" w:styleId="ListLabel9">
    <w:name w:val="ListLabel 9"/>
    <w:rPr>
      <w:rFonts w:cs="Wingdings"/>
    </w:rPr>
  </w:style>
  <w:style w:type="character" w:styleId="ListLabel10">
    <w:name w:val="ListLabel 10"/>
    <w:rPr>
      <w:rFonts w:cs="Calibri"/>
    </w:rPr>
  </w:style>
  <w:style w:type="character" w:styleId="ListLabel11">
    <w:name w:val="ListLabel 11"/>
    <w:rPr>
      <w:rFonts w:cs="Symbol"/>
    </w:rPr>
  </w:style>
  <w:style w:type="character" w:styleId="ListLabel12">
    <w:name w:val="ListLabel 12"/>
    <w:rPr>
      <w:rFonts w:cs="Courier New"/>
    </w:rPr>
  </w:style>
  <w:style w:type="character" w:styleId="ListLabel13">
    <w:name w:val="ListLabel 13"/>
    <w:rPr>
      <w:rFonts w:cs="Wingdings"/>
    </w:rPr>
  </w:style>
  <w:style w:type="character" w:styleId="ListLabel14">
    <w:name w:val="ListLabel 14"/>
    <w:rPr>
      <w:rFonts w:cs="Calibri"/>
    </w:rPr>
  </w:style>
  <w:style w:type="character" w:styleId="ListLabel15">
    <w:name w:val="ListLabel 15"/>
    <w:rPr>
      <w:rFonts w:cs="Symbol"/>
    </w:rPr>
  </w:style>
  <w:style w:type="character" w:styleId="ListLabel16">
    <w:name w:val="ListLabel 16"/>
    <w:rPr>
      <w:rFonts w:cs="Courier New"/>
    </w:rPr>
  </w:style>
  <w:style w:type="character" w:styleId="ListLabel17">
    <w:name w:val="ListLabel 17"/>
    <w:rPr>
      <w:rFonts w:cs="Wingdings"/>
    </w:rPr>
  </w:style>
  <w:style w:type="character" w:styleId="ListLabel18">
    <w:name w:val="ListLabel 18"/>
    <w:rPr>
      <w:rFonts w:cs="Calibri"/>
    </w:rPr>
  </w:style>
  <w:style w:type="character" w:styleId="Caractresdenotedebasdepage">
    <w:name w:val="Caractères de note de bas de page"/>
    <w:rPr/>
  </w:style>
  <w:style w:type="character" w:styleId="Caractresdenotedefin">
    <w:name w:val="Caractères de note de fin"/>
    <w:rPr/>
  </w:style>
  <w:style w:type="paragraph" w:styleId="Titre">
    <w:name w:val="Titre"/>
    <w:basedOn w:val="Normal"/>
    <w:next w:val="Corpsdetexte"/>
    <w:pPr>
      <w:keepNext/>
      <w:spacing w:before="240" w:after="120"/>
    </w:pPr>
    <w:rPr>
      <w:rFonts w:ascii="Liberation Sans" w:hAnsi="Liberation Sans"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Entte">
    <w:name w:val="En-tête"/>
    <w:basedOn w:val="Normal"/>
    <w:pPr>
      <w:tabs>
        <w:tab w:val="center" w:pos="4536" w:leader="none"/>
        <w:tab w:val="right" w:pos="9072" w:leader="none"/>
      </w:tabs>
      <w:spacing w:lineRule="auto" w:line="240" w:before="0" w:after="0"/>
    </w:pPr>
    <w:rPr/>
  </w:style>
  <w:style w:type="paragraph" w:styleId="Pieddepage">
    <w:name w:val="Pied de page"/>
    <w:basedOn w:val="Normal"/>
    <w:pPr>
      <w:tabs>
        <w:tab w:val="center" w:pos="4536" w:leader="none"/>
        <w:tab w:val="right" w:pos="9072" w:leader="none"/>
      </w:tabs>
      <w:spacing w:lineRule="auto" w:line="240" w:before="0" w:after="0"/>
    </w:pPr>
    <w:rPr/>
  </w:style>
  <w:style w:type="paragraph" w:styleId="BalloonText">
    <w:name w:val="Balloon Text"/>
    <w:basedOn w:val="Normal"/>
    <w:pPr>
      <w:spacing w:lineRule="auto" w:line="240" w:before="0" w:after="0"/>
    </w:pPr>
    <w:rPr>
      <w:rFonts w:ascii="Tahoma" w:hAnsi="Tahoma" w:cs="Tahoma"/>
      <w:sz w:val="16"/>
      <w:szCs w:val="16"/>
    </w:rPr>
  </w:style>
  <w:style w:type="paragraph" w:styleId="Annotationtext">
    <w:name w:val="annotation text"/>
    <w:basedOn w:val="Normal"/>
    <w:pPr>
      <w:spacing w:lineRule="auto" w:line="240"/>
    </w:pPr>
    <w:rPr>
      <w:sz w:val="20"/>
      <w:szCs w:val="20"/>
    </w:rPr>
  </w:style>
  <w:style w:type="paragraph" w:styleId="Annotationsubject">
    <w:name w:val="annotation subject"/>
    <w:basedOn w:val="Annotationtext"/>
    <w:pPr/>
    <w:rPr>
      <w:b/>
      <w:bCs/>
    </w:rPr>
  </w:style>
  <w:style w:type="paragraph" w:styleId="ListParagraph">
    <w:name w:val="List Paragraph"/>
    <w:basedOn w:val="Normal"/>
    <w:pPr>
      <w:spacing w:before="0" w:after="200"/>
      <w:ind w:left="720" w:right="0" w:hanging="0"/>
      <w:contextualSpacing/>
    </w:pPr>
    <w:rPr/>
  </w:style>
  <w:style w:type="paragraph" w:styleId="Footnotetext">
    <w:name w:val="footnote text"/>
    <w:basedOn w:val="Normal"/>
    <w:pPr>
      <w:spacing w:lineRule="auto" w:line="240" w:before="0" w:after="0"/>
    </w:pPr>
    <w:rPr>
      <w:rFonts w:ascii="Calibri" w:hAnsi="Calibri" w:cs="Calibri"/>
      <w:sz w:val="20"/>
      <w:szCs w:val="20"/>
    </w:rPr>
  </w:style>
  <w:style w:type="paragraph" w:styleId="Notedebasdepage">
    <w:name w:val="Note de bas de page"/>
    <w:basedOn w:val="Normal"/>
    <w:pPr/>
    <w:rPr/>
  </w:style>
  <w:style w:type="numbering" w:styleId="NoList">
    <w:name w:val="No Lis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gouvernement.fr/sites/default/files/contenu/piece-jointe/2015/09/racisme_antisemitisme-dilcra.pdf" TargetMode="External"/><Relationship Id="rId4" Type="http://schemas.openxmlformats.org/officeDocument/2006/relationships/hyperlink" Target="mailto:pref-pdec-polville@nord.gouv.fr" TargetMode="Externa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www.gouvernement.fr/sites/default/files/contenu/piece-jointe/2015/09/racisme_antisemitisme-dilcra.pdf" TargetMode="External"/>
</Relationships>
</file>

<file path=docProps/app.xml><?xml version="1.0" encoding="utf-8"?>
<Properties xmlns="http://schemas.openxmlformats.org/officeDocument/2006/extended-properties" xmlns:vt="http://schemas.openxmlformats.org/officeDocument/2006/docPropsVTypes">
  <Template>B87F7E9F</Template>
  <TotalTime>0</TotalTime>
  <Application>LibreOffice/4.3.7.2.0$Windows_x86 LibreOffice_project/48a90ee55c9f053c937b3e8638cc753652d70536</Application>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2016-11-21T17:33:00Z</dcterms:created>
  <dc:creator>SPM</dc:creator>
  <dc:language>fr-FR</dc:language>
  <dcterms:modified xsi:type="dcterms:W3CDTF">2016-12-02T07:33:18Z</dcterms:modified>
  <cp:revision>12</cp:revision>
</cp:coreProperties>
</file>